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0769F" w14:textId="4D8E56F9" w:rsidR="00AC5C59" w:rsidRDefault="000B3684" w:rsidP="00366D43">
      <w:pPr>
        <w:spacing w:after="0" w:line="240" w:lineRule="auto"/>
        <w:jc w:val="both"/>
        <w:rPr>
          <w:rFonts w:ascii="Times New Roman" w:hAnsi="Times New Roman"/>
          <w:b/>
          <w:sz w:val="24"/>
        </w:rPr>
      </w:pPr>
      <w:r>
        <w:rPr>
          <w:rFonts w:ascii="Times New Roman" w:hAnsi="Times New Roman"/>
          <w:b/>
          <w:sz w:val="24"/>
        </w:rPr>
        <w:t>STF-JKA-1-4</w:t>
      </w:r>
    </w:p>
    <w:p w14:paraId="343E9018" w14:textId="77777777" w:rsidR="00366D43" w:rsidRDefault="00366D43" w:rsidP="00366D43">
      <w:pPr>
        <w:spacing w:after="0" w:line="240" w:lineRule="auto"/>
        <w:jc w:val="both"/>
      </w:pPr>
    </w:p>
    <w:p w14:paraId="796375B8" w14:textId="77777777" w:rsidR="00AC5C59" w:rsidRDefault="000B3684" w:rsidP="00366D43">
      <w:pPr>
        <w:spacing w:after="0" w:line="240" w:lineRule="auto"/>
        <w:jc w:val="both"/>
      </w:pPr>
      <w:r>
        <w:rPr>
          <w:rFonts w:ascii="Times New Roman" w:hAnsi="Times New Roman"/>
          <w:sz w:val="24"/>
          <w:u w:val="single"/>
        </w:rPr>
        <w:t xml:space="preserve">Question: </w:t>
      </w:r>
      <w:r>
        <w:rPr>
          <w:rFonts w:ascii="Times New Roman" w:hAnsi="Times New Roman"/>
          <w:sz w:val="24"/>
          <w:u w:val="single"/>
        </w:rPr>
        <w:br/>
      </w:r>
    </w:p>
    <w:p w14:paraId="77A80A61" w14:textId="77777777" w:rsidR="00AC5C59" w:rsidRDefault="000B3684" w:rsidP="00E36AC5">
      <w:pPr>
        <w:spacing w:line="240" w:lineRule="auto"/>
        <w:jc w:val="both"/>
      </w:pPr>
      <w:r w:rsidRPr="00E36AC5">
        <w:rPr>
          <w:rFonts w:ascii="Times New Roman" w:hAnsi="Times New Roman"/>
          <w:sz w:val="24"/>
        </w:rPr>
        <w:t>Regarding the Economically Optimal SERVM Reserve Margin Study. Provide the following electronically, with all formulae intact:</w:t>
      </w:r>
    </w:p>
    <w:p w14:paraId="04A312DE" w14:textId="76268159" w:rsidR="00AC5C59" w:rsidRDefault="000B3684" w:rsidP="00366D43">
      <w:pPr>
        <w:pStyle w:val="ListParagraph"/>
        <w:numPr>
          <w:ilvl w:val="0"/>
          <w:numId w:val="12"/>
        </w:numPr>
        <w:spacing w:line="240" w:lineRule="auto"/>
        <w:contextualSpacing w:val="0"/>
        <w:jc w:val="both"/>
      </w:pPr>
      <w:r w:rsidRPr="00366D43">
        <w:rPr>
          <w:rFonts w:ascii="Times New Roman" w:hAnsi="Times New Roman"/>
          <w:sz w:val="24"/>
        </w:rPr>
        <w:t>Provide all workpapers used and output files produced in the Reserve Margin Study.</w:t>
      </w:r>
    </w:p>
    <w:p w14:paraId="7F178A37" w14:textId="050EEC61" w:rsidR="00AC5C59" w:rsidRDefault="000B3684" w:rsidP="00366D43">
      <w:pPr>
        <w:pStyle w:val="ListParagraph"/>
        <w:numPr>
          <w:ilvl w:val="0"/>
          <w:numId w:val="12"/>
        </w:numPr>
        <w:spacing w:line="240" w:lineRule="auto"/>
        <w:contextualSpacing w:val="0"/>
        <w:jc w:val="both"/>
      </w:pPr>
      <w:r w:rsidRPr="00366D43">
        <w:rPr>
          <w:rFonts w:ascii="Times New Roman" w:hAnsi="Times New Roman"/>
          <w:sz w:val="24"/>
        </w:rPr>
        <w:t>Provide the Natural Gas Price forecast (in nominal dollars) that was used in that study.</w:t>
      </w:r>
    </w:p>
    <w:p w14:paraId="451E4954" w14:textId="72FD86D6" w:rsidR="00AC5C59" w:rsidRDefault="000B3684" w:rsidP="00366D43">
      <w:pPr>
        <w:pStyle w:val="ListParagraph"/>
        <w:numPr>
          <w:ilvl w:val="0"/>
          <w:numId w:val="12"/>
        </w:numPr>
        <w:spacing w:line="240" w:lineRule="auto"/>
        <w:contextualSpacing w:val="0"/>
        <w:jc w:val="both"/>
      </w:pPr>
      <w:r w:rsidRPr="00366D43">
        <w:rPr>
          <w:rFonts w:ascii="Times New Roman" w:hAnsi="Times New Roman"/>
          <w:sz w:val="24"/>
        </w:rPr>
        <w:t>Provide the derivation of the CT revenue requirements based on the economic carrying cost analysis used in the SERVM study, including a breakdown of all cost components included in the analysis.</w:t>
      </w:r>
    </w:p>
    <w:p w14:paraId="35F00457" w14:textId="6FCA82F8" w:rsidR="00AC5C59" w:rsidRDefault="000B3684" w:rsidP="00366D43">
      <w:pPr>
        <w:pStyle w:val="ListParagraph"/>
        <w:numPr>
          <w:ilvl w:val="0"/>
          <w:numId w:val="12"/>
        </w:numPr>
        <w:spacing w:line="240" w:lineRule="auto"/>
        <w:contextualSpacing w:val="0"/>
        <w:jc w:val="both"/>
      </w:pPr>
      <w:r w:rsidRPr="00366D43">
        <w:rPr>
          <w:rFonts w:ascii="Times New Roman" w:hAnsi="Times New Roman"/>
          <w:sz w:val="24"/>
        </w:rPr>
        <w:t>Please identify any outside consultants (name of individual and the firm) who participated in the development of the Reserve Margin Study relied on in this IRP. For each such consultant, provide the area of responsibility or the work performed by such consultant on the Reserve Margin Study.</w:t>
      </w:r>
    </w:p>
    <w:p w14:paraId="53E35BDD" w14:textId="233E54C1" w:rsidR="00AC5C59" w:rsidRDefault="000B3684" w:rsidP="00366D43">
      <w:pPr>
        <w:pStyle w:val="ListParagraph"/>
        <w:numPr>
          <w:ilvl w:val="0"/>
          <w:numId w:val="12"/>
        </w:numPr>
        <w:spacing w:line="240" w:lineRule="auto"/>
        <w:contextualSpacing w:val="0"/>
        <w:jc w:val="both"/>
      </w:pPr>
      <w:r w:rsidRPr="00366D43">
        <w:rPr>
          <w:rFonts w:ascii="Times New Roman" w:hAnsi="Times New Roman"/>
          <w:sz w:val="24"/>
        </w:rPr>
        <w:t>Please explain the extent to which gas or oil storage, and the use of dual fuel capable resources were modeled in the SERVM reserve margin analysis. Please identify all fossil fuel-fired generating units that were modeled that only had a single fuel source and explain why those resources do not have back-up fuel supplies.</w:t>
      </w:r>
    </w:p>
    <w:p w14:paraId="54481A74" w14:textId="69177967" w:rsidR="00AC5C59" w:rsidRDefault="000B3684" w:rsidP="00366D43">
      <w:pPr>
        <w:pStyle w:val="ListParagraph"/>
        <w:numPr>
          <w:ilvl w:val="0"/>
          <w:numId w:val="12"/>
        </w:numPr>
        <w:spacing w:line="240" w:lineRule="auto"/>
        <w:contextualSpacing w:val="0"/>
        <w:jc w:val="both"/>
      </w:pPr>
      <w:r w:rsidRPr="00366D43">
        <w:rPr>
          <w:rFonts w:ascii="Times New Roman" w:hAnsi="Times New Roman"/>
          <w:sz w:val="24"/>
        </w:rPr>
        <w:t>In the 2022 IRP, Staff disagreed with the Company’s modeling of load forecast error in that the Company recentered the historical load forecast error distribution by subtracting the median percentage forecast error from the actual forecast error for each year. Has the Company continued to rely on this modeling approach or has the Company revised the modeling approach? If the Company has continued to rely on that modeling approach, please explain why, and if the Company has revised the modeling approach, please explain how the new approach was performed.</w:t>
      </w:r>
    </w:p>
    <w:p w14:paraId="6D2BC6EE" w14:textId="1C9E1EBF" w:rsidR="00AC5C59" w:rsidRPr="00E75477" w:rsidRDefault="000B3684" w:rsidP="00366D43">
      <w:pPr>
        <w:spacing w:line="240" w:lineRule="auto"/>
        <w:rPr>
          <w:rFonts w:ascii="Times New Roman" w:hAnsi="Times New Roman" w:cs="Times New Roman"/>
          <w:sz w:val="24"/>
          <w:szCs w:val="24"/>
          <w:u w:val="single"/>
        </w:rPr>
      </w:pPr>
      <w:r w:rsidRPr="00E75477">
        <w:rPr>
          <w:rFonts w:ascii="Times New Roman" w:hAnsi="Times New Roman" w:cs="Times New Roman"/>
          <w:sz w:val="24"/>
          <w:szCs w:val="24"/>
          <w:u w:val="single"/>
        </w:rPr>
        <w:t xml:space="preserve">Response: </w:t>
      </w:r>
    </w:p>
    <w:p w14:paraId="68A29286" w14:textId="47FD88AB" w:rsidR="00D561CF" w:rsidRPr="00E75477" w:rsidRDefault="00D561CF" w:rsidP="00366D43">
      <w:pPr>
        <w:pStyle w:val="ListParagraph"/>
        <w:numPr>
          <w:ilvl w:val="0"/>
          <w:numId w:val="10"/>
        </w:numPr>
        <w:tabs>
          <w:tab w:val="clear" w:pos="720"/>
        </w:tabs>
        <w:spacing w:line="240" w:lineRule="auto"/>
        <w:contextualSpacing w:val="0"/>
        <w:jc w:val="both"/>
        <w:rPr>
          <w:rFonts w:ascii="Times New Roman" w:hAnsi="Times New Roman" w:cs="Times New Roman"/>
          <w:sz w:val="24"/>
          <w:szCs w:val="24"/>
        </w:rPr>
      </w:pPr>
      <w:r>
        <w:rPr>
          <w:rFonts w:ascii="Times New Roman" w:hAnsi="Times New Roman" w:cs="Times New Roman"/>
          <w:sz w:val="24"/>
          <w:szCs w:val="24"/>
        </w:rPr>
        <w:t xml:space="preserve">All workpapers and output files from the Reserve Margin Study were provided </w:t>
      </w:r>
      <w:r w:rsidR="00C557EE">
        <w:rPr>
          <w:rFonts w:ascii="Times New Roman" w:hAnsi="Times New Roman" w:cs="Times New Roman"/>
          <w:sz w:val="24"/>
          <w:szCs w:val="24"/>
        </w:rPr>
        <w:t xml:space="preserve">to Commission Staff </w:t>
      </w:r>
      <w:r w:rsidR="003011A1">
        <w:rPr>
          <w:rFonts w:ascii="Times New Roman" w:hAnsi="Times New Roman" w:cs="Times New Roman"/>
          <w:sz w:val="24"/>
          <w:szCs w:val="24"/>
        </w:rPr>
        <w:t>on January 31, 2025</w:t>
      </w:r>
      <w:r>
        <w:rPr>
          <w:rFonts w:ascii="Times New Roman" w:hAnsi="Times New Roman" w:cs="Times New Roman"/>
          <w:sz w:val="24"/>
          <w:szCs w:val="24"/>
        </w:rPr>
        <w:t>.</w:t>
      </w:r>
    </w:p>
    <w:p w14:paraId="5D212CFB" w14:textId="578E4393" w:rsidR="00732170" w:rsidRPr="00846172" w:rsidRDefault="00BF7FBF" w:rsidP="00366D43">
      <w:pPr>
        <w:pStyle w:val="ListParagraph"/>
        <w:numPr>
          <w:ilvl w:val="0"/>
          <w:numId w:val="10"/>
        </w:numPr>
        <w:tabs>
          <w:tab w:val="clear" w:pos="720"/>
          <w:tab w:val="num" w:pos="1080"/>
        </w:tabs>
        <w:spacing w:line="240" w:lineRule="auto"/>
        <w:contextualSpacing w:val="0"/>
        <w:jc w:val="both"/>
        <w:rPr>
          <w:rFonts w:ascii="Times New Roman" w:hAnsi="Times New Roman" w:cs="Times New Roman"/>
          <w:sz w:val="24"/>
          <w:szCs w:val="24"/>
        </w:rPr>
      </w:pPr>
      <w:r w:rsidRPr="00846172">
        <w:rPr>
          <w:rFonts w:ascii="Times New Roman" w:hAnsi="Times New Roman" w:cs="Times New Roman"/>
          <w:sz w:val="24"/>
          <w:szCs w:val="24"/>
        </w:rPr>
        <w:t>Please see STF-JKA-1-4 Attachment A</w:t>
      </w:r>
      <w:r w:rsidR="005D2E82">
        <w:rPr>
          <w:rFonts w:ascii="Times New Roman" w:hAnsi="Times New Roman" w:cs="Times New Roman"/>
          <w:sz w:val="24"/>
          <w:szCs w:val="24"/>
        </w:rPr>
        <w:t xml:space="preserve"> TRADE SECRET</w:t>
      </w:r>
      <w:r w:rsidRPr="00846172">
        <w:rPr>
          <w:rFonts w:ascii="Times New Roman" w:hAnsi="Times New Roman" w:cs="Times New Roman"/>
          <w:sz w:val="24"/>
          <w:szCs w:val="24"/>
        </w:rPr>
        <w:t>.</w:t>
      </w:r>
    </w:p>
    <w:p w14:paraId="29007ACE" w14:textId="1ECDA561" w:rsidR="00732170" w:rsidRPr="00732170" w:rsidRDefault="00732170" w:rsidP="00366D43">
      <w:pPr>
        <w:pStyle w:val="ListParagraph"/>
        <w:numPr>
          <w:ilvl w:val="0"/>
          <w:numId w:val="10"/>
        </w:numPr>
        <w:tabs>
          <w:tab w:val="clear" w:pos="720"/>
          <w:tab w:val="num" w:pos="1080"/>
        </w:tabs>
        <w:spacing w:line="240" w:lineRule="auto"/>
        <w:contextualSpacing w:val="0"/>
        <w:jc w:val="both"/>
        <w:rPr>
          <w:rFonts w:ascii="Times New Roman" w:hAnsi="Times New Roman" w:cs="Times New Roman"/>
          <w:sz w:val="24"/>
          <w:szCs w:val="24"/>
        </w:rPr>
      </w:pPr>
      <w:r w:rsidRPr="00732170">
        <w:rPr>
          <w:rFonts w:ascii="Times New Roman" w:hAnsi="Times New Roman" w:cs="Times New Roman"/>
          <w:sz w:val="24"/>
          <w:szCs w:val="24"/>
        </w:rPr>
        <w:t xml:space="preserve">The economic carrying cost </w:t>
      </w:r>
      <w:r w:rsidR="00993706">
        <w:rPr>
          <w:rFonts w:ascii="Times New Roman" w:hAnsi="Times New Roman" w:cs="Times New Roman"/>
          <w:sz w:val="24"/>
          <w:szCs w:val="24"/>
        </w:rPr>
        <w:t xml:space="preserve">(“ECC”) </w:t>
      </w:r>
      <w:r w:rsidRPr="00732170">
        <w:rPr>
          <w:rFonts w:ascii="Times New Roman" w:hAnsi="Times New Roman" w:cs="Times New Roman"/>
          <w:sz w:val="24"/>
          <w:szCs w:val="24"/>
        </w:rPr>
        <w:t xml:space="preserve">of a </w:t>
      </w:r>
      <w:r w:rsidR="00C564AB">
        <w:rPr>
          <w:rFonts w:ascii="Times New Roman" w:hAnsi="Times New Roman" w:cs="Times New Roman"/>
          <w:sz w:val="24"/>
          <w:szCs w:val="24"/>
        </w:rPr>
        <w:t>combustion turbine (“</w:t>
      </w:r>
      <w:r w:rsidRPr="00732170">
        <w:rPr>
          <w:rFonts w:ascii="Times New Roman" w:hAnsi="Times New Roman" w:cs="Times New Roman"/>
          <w:sz w:val="24"/>
          <w:szCs w:val="24"/>
        </w:rPr>
        <w:t>CT</w:t>
      </w:r>
      <w:r w:rsidR="00C564AB">
        <w:rPr>
          <w:rFonts w:ascii="Times New Roman" w:hAnsi="Times New Roman" w:cs="Times New Roman"/>
          <w:sz w:val="24"/>
          <w:szCs w:val="24"/>
        </w:rPr>
        <w:t>”)</w:t>
      </w:r>
      <w:r w:rsidRPr="00732170">
        <w:rPr>
          <w:rFonts w:ascii="Times New Roman" w:hAnsi="Times New Roman" w:cs="Times New Roman"/>
          <w:sz w:val="24"/>
          <w:szCs w:val="24"/>
        </w:rPr>
        <w:t xml:space="preserve"> is not used directly in the SERVM model but instead is used to represent the cost of capacity as part of the </w:t>
      </w:r>
      <w:r w:rsidR="00C564AB">
        <w:rPr>
          <w:rFonts w:ascii="Times New Roman" w:hAnsi="Times New Roman" w:cs="Times New Roman"/>
          <w:sz w:val="24"/>
          <w:szCs w:val="24"/>
        </w:rPr>
        <w:t>economic optimum reserve margin (“</w:t>
      </w:r>
      <w:r w:rsidRPr="00732170">
        <w:rPr>
          <w:rFonts w:ascii="Times New Roman" w:hAnsi="Times New Roman" w:cs="Times New Roman"/>
          <w:sz w:val="24"/>
          <w:szCs w:val="24"/>
        </w:rPr>
        <w:t>EORM</w:t>
      </w:r>
      <w:r w:rsidR="00C564AB">
        <w:rPr>
          <w:rFonts w:ascii="Times New Roman" w:hAnsi="Times New Roman" w:cs="Times New Roman"/>
          <w:sz w:val="24"/>
          <w:szCs w:val="24"/>
        </w:rPr>
        <w:t>”)</w:t>
      </w:r>
      <w:r w:rsidRPr="00732170">
        <w:rPr>
          <w:rFonts w:ascii="Times New Roman" w:hAnsi="Times New Roman" w:cs="Times New Roman"/>
          <w:sz w:val="24"/>
          <w:szCs w:val="24"/>
        </w:rPr>
        <w:t xml:space="preserve"> analysis. The </w:t>
      </w:r>
      <w:r w:rsidR="00E92363">
        <w:rPr>
          <w:rFonts w:ascii="Times New Roman" w:hAnsi="Times New Roman" w:cs="Times New Roman"/>
          <w:sz w:val="24"/>
          <w:szCs w:val="24"/>
        </w:rPr>
        <w:t>workpaper</w:t>
      </w:r>
      <w:r w:rsidRPr="00732170">
        <w:rPr>
          <w:rFonts w:ascii="Times New Roman" w:hAnsi="Times New Roman" w:cs="Times New Roman"/>
          <w:sz w:val="24"/>
          <w:szCs w:val="24"/>
        </w:rPr>
        <w:t>, “Section V. B2024 CT ECC for RMS (TS).xlsx</w:t>
      </w:r>
      <w:r w:rsidR="00E92363">
        <w:rPr>
          <w:rFonts w:ascii="Times New Roman" w:hAnsi="Times New Roman" w:cs="Times New Roman"/>
          <w:sz w:val="24"/>
          <w:szCs w:val="24"/>
        </w:rPr>
        <w:t>,</w:t>
      </w:r>
      <w:r w:rsidRPr="00732170">
        <w:rPr>
          <w:rFonts w:ascii="Times New Roman" w:hAnsi="Times New Roman" w:cs="Times New Roman"/>
          <w:sz w:val="24"/>
          <w:szCs w:val="24"/>
        </w:rPr>
        <w:t xml:space="preserve">” provided </w:t>
      </w:r>
      <w:r w:rsidR="000B18E0">
        <w:rPr>
          <w:rFonts w:ascii="Times New Roman" w:hAnsi="Times New Roman" w:cs="Times New Roman"/>
          <w:sz w:val="24"/>
          <w:szCs w:val="24"/>
        </w:rPr>
        <w:t xml:space="preserve">to Commission Staff </w:t>
      </w:r>
      <w:r w:rsidRPr="00732170">
        <w:rPr>
          <w:rFonts w:ascii="Times New Roman" w:hAnsi="Times New Roman" w:cs="Times New Roman"/>
          <w:sz w:val="24"/>
          <w:szCs w:val="24"/>
        </w:rPr>
        <w:t xml:space="preserve">in </w:t>
      </w:r>
      <w:r w:rsidR="000B18E0">
        <w:rPr>
          <w:rFonts w:ascii="Times New Roman" w:hAnsi="Times New Roman" w:cs="Times New Roman"/>
          <w:sz w:val="24"/>
          <w:szCs w:val="24"/>
        </w:rPr>
        <w:t xml:space="preserve">the </w:t>
      </w:r>
      <w:r w:rsidRPr="00732170">
        <w:rPr>
          <w:rFonts w:ascii="Times New Roman" w:hAnsi="Times New Roman" w:cs="Times New Roman"/>
          <w:sz w:val="24"/>
          <w:szCs w:val="24"/>
        </w:rPr>
        <w:t xml:space="preserve">Technical </w:t>
      </w:r>
      <w:r w:rsidRPr="00732170">
        <w:rPr>
          <w:rFonts w:ascii="Times New Roman" w:hAnsi="Times New Roman" w:cs="Times New Roman"/>
          <w:sz w:val="24"/>
          <w:szCs w:val="24"/>
        </w:rPr>
        <w:lastRenderedPageBreak/>
        <w:t>Appendix Volume 1</w:t>
      </w:r>
      <w:r w:rsidR="00F13242">
        <w:rPr>
          <w:rFonts w:ascii="Times New Roman" w:hAnsi="Times New Roman" w:cs="Times New Roman"/>
          <w:sz w:val="24"/>
          <w:szCs w:val="24"/>
        </w:rPr>
        <w:t xml:space="preserve"> </w:t>
      </w:r>
      <w:r w:rsidR="004D3059">
        <w:rPr>
          <w:rFonts w:ascii="Times New Roman" w:hAnsi="Times New Roman" w:cs="Times New Roman"/>
          <w:sz w:val="24"/>
          <w:szCs w:val="24"/>
        </w:rPr>
        <w:t>–</w:t>
      </w:r>
      <w:r w:rsidR="00F13242">
        <w:rPr>
          <w:rFonts w:ascii="Times New Roman" w:hAnsi="Times New Roman" w:cs="Times New Roman"/>
          <w:sz w:val="24"/>
          <w:szCs w:val="24"/>
        </w:rPr>
        <w:t xml:space="preserve"> </w:t>
      </w:r>
      <w:r w:rsidR="004D3059">
        <w:rPr>
          <w:rFonts w:ascii="Times New Roman" w:hAnsi="Times New Roman" w:cs="Times New Roman"/>
          <w:sz w:val="24"/>
          <w:szCs w:val="24"/>
        </w:rPr>
        <w:t xml:space="preserve">Reserve Margin Study </w:t>
      </w:r>
      <w:r w:rsidR="00993706">
        <w:rPr>
          <w:rFonts w:ascii="Times New Roman" w:hAnsi="Times New Roman" w:cs="Times New Roman"/>
          <w:sz w:val="24"/>
          <w:szCs w:val="24"/>
        </w:rPr>
        <w:t>–</w:t>
      </w:r>
      <w:r w:rsidR="004D3059">
        <w:rPr>
          <w:rFonts w:ascii="Times New Roman" w:hAnsi="Times New Roman" w:cs="Times New Roman"/>
          <w:sz w:val="24"/>
          <w:szCs w:val="24"/>
        </w:rPr>
        <w:t xml:space="preserve"> </w:t>
      </w:r>
      <w:r w:rsidR="00993706">
        <w:rPr>
          <w:rFonts w:ascii="Times New Roman" w:hAnsi="Times New Roman" w:cs="Times New Roman"/>
          <w:sz w:val="24"/>
          <w:szCs w:val="24"/>
        </w:rPr>
        <w:t>I. Assumptions workpapers folder</w:t>
      </w:r>
      <w:r w:rsidRPr="00732170">
        <w:rPr>
          <w:rFonts w:ascii="Times New Roman" w:hAnsi="Times New Roman" w:cs="Times New Roman"/>
          <w:sz w:val="24"/>
          <w:szCs w:val="24"/>
        </w:rPr>
        <w:t xml:space="preserve">, details the components of the CT ECC.     </w:t>
      </w:r>
    </w:p>
    <w:p w14:paraId="698B557E" w14:textId="28ABD3A9" w:rsidR="00FD3D89" w:rsidRDefault="00C874DB" w:rsidP="00366D43">
      <w:pPr>
        <w:pStyle w:val="ListParagraph"/>
        <w:numPr>
          <w:ilvl w:val="0"/>
          <w:numId w:val="10"/>
        </w:numPr>
        <w:tabs>
          <w:tab w:val="clear" w:pos="720"/>
          <w:tab w:val="num" w:pos="1080"/>
        </w:tabs>
        <w:spacing w:line="240" w:lineRule="auto"/>
        <w:contextualSpacing w:val="0"/>
        <w:jc w:val="both"/>
        <w:rPr>
          <w:rFonts w:ascii="Times New Roman" w:hAnsi="Times New Roman" w:cs="Times New Roman"/>
          <w:sz w:val="24"/>
          <w:szCs w:val="24"/>
        </w:rPr>
      </w:pPr>
      <w:proofErr w:type="spellStart"/>
      <w:r w:rsidRPr="008E2D89">
        <w:rPr>
          <w:rFonts w:ascii="Times New Roman" w:hAnsi="Times New Roman" w:cs="Times New Roman"/>
          <w:sz w:val="24"/>
          <w:szCs w:val="24"/>
        </w:rPr>
        <w:t>Astrapé</w:t>
      </w:r>
      <w:proofErr w:type="spellEnd"/>
      <w:r w:rsidRPr="008E2D89">
        <w:rPr>
          <w:rFonts w:ascii="Times New Roman" w:hAnsi="Times New Roman" w:cs="Times New Roman"/>
          <w:sz w:val="24"/>
          <w:szCs w:val="24"/>
        </w:rPr>
        <w:t xml:space="preserve"> Consulting’s services were used to update the Company’s First Tier (neighbor) data used to simulate market and emergency transactions as well as the Company’s solar weather year, hydro, and </w:t>
      </w:r>
      <w:r w:rsidR="00F141EE" w:rsidRPr="008E2D89">
        <w:rPr>
          <w:rFonts w:ascii="Times New Roman" w:hAnsi="Times New Roman" w:cs="Times New Roman"/>
          <w:sz w:val="24"/>
          <w:szCs w:val="24"/>
        </w:rPr>
        <w:t xml:space="preserve">operating reserve demand curve </w:t>
      </w:r>
      <w:r w:rsidRPr="008E2D89">
        <w:rPr>
          <w:rFonts w:ascii="Times New Roman" w:hAnsi="Times New Roman" w:cs="Times New Roman"/>
          <w:sz w:val="24"/>
          <w:szCs w:val="24"/>
        </w:rPr>
        <w:t>(</w:t>
      </w:r>
      <w:r w:rsidR="004E0DD2">
        <w:rPr>
          <w:rFonts w:ascii="Times New Roman" w:hAnsi="Times New Roman" w:cs="Times New Roman"/>
          <w:sz w:val="24"/>
          <w:szCs w:val="24"/>
        </w:rPr>
        <w:t>“</w:t>
      </w:r>
      <w:r w:rsidR="00F141EE" w:rsidRPr="008E2D89">
        <w:rPr>
          <w:rFonts w:ascii="Times New Roman" w:hAnsi="Times New Roman" w:cs="Times New Roman"/>
          <w:sz w:val="24"/>
          <w:szCs w:val="24"/>
        </w:rPr>
        <w:t>ORDC</w:t>
      </w:r>
      <w:r w:rsidR="004E0DD2">
        <w:rPr>
          <w:rFonts w:ascii="Times New Roman" w:hAnsi="Times New Roman" w:cs="Times New Roman"/>
          <w:sz w:val="24"/>
          <w:szCs w:val="24"/>
        </w:rPr>
        <w:t>”</w:t>
      </w:r>
      <w:r w:rsidRPr="008E2D89">
        <w:rPr>
          <w:rFonts w:ascii="Times New Roman" w:hAnsi="Times New Roman" w:cs="Times New Roman"/>
          <w:sz w:val="24"/>
          <w:szCs w:val="24"/>
        </w:rPr>
        <w:t>) data.</w:t>
      </w:r>
      <w:r w:rsidR="008E2D89" w:rsidRPr="008E2D89">
        <w:rPr>
          <w:rFonts w:ascii="Times New Roman" w:hAnsi="Times New Roman" w:cs="Times New Roman"/>
          <w:sz w:val="24"/>
          <w:szCs w:val="24"/>
        </w:rPr>
        <w:t xml:space="preserve"> Kevin Carden was the main contact for the engagement</w:t>
      </w:r>
      <w:r w:rsidR="004E0DD2">
        <w:rPr>
          <w:rFonts w:ascii="Times New Roman" w:hAnsi="Times New Roman" w:cs="Times New Roman"/>
          <w:sz w:val="24"/>
          <w:szCs w:val="24"/>
        </w:rPr>
        <w:t>,</w:t>
      </w:r>
      <w:r w:rsidR="008E2D89" w:rsidRPr="008E2D89">
        <w:rPr>
          <w:rFonts w:ascii="Times New Roman" w:hAnsi="Times New Roman" w:cs="Times New Roman"/>
          <w:sz w:val="24"/>
          <w:szCs w:val="24"/>
        </w:rPr>
        <w:t xml:space="preserve"> and </w:t>
      </w:r>
      <w:proofErr w:type="spellStart"/>
      <w:r w:rsidR="0080000F" w:rsidRPr="008E2D89">
        <w:rPr>
          <w:rFonts w:ascii="Times New Roman" w:hAnsi="Times New Roman" w:cs="Times New Roman"/>
          <w:sz w:val="24"/>
          <w:szCs w:val="24"/>
        </w:rPr>
        <w:t>Astrapé</w:t>
      </w:r>
      <w:proofErr w:type="spellEnd"/>
      <w:r w:rsidR="0080000F" w:rsidRPr="008E2D89">
        <w:rPr>
          <w:rFonts w:ascii="Times New Roman" w:hAnsi="Times New Roman" w:cs="Times New Roman"/>
          <w:sz w:val="24"/>
          <w:szCs w:val="24"/>
        </w:rPr>
        <w:t xml:space="preserve"> Consulting</w:t>
      </w:r>
      <w:r w:rsidR="006D4D8A" w:rsidRPr="008E2D89">
        <w:rPr>
          <w:rFonts w:ascii="Times New Roman" w:hAnsi="Times New Roman" w:cs="Times New Roman"/>
          <w:sz w:val="24"/>
          <w:szCs w:val="24"/>
        </w:rPr>
        <w:t xml:space="preserve"> has since merged with </w:t>
      </w:r>
      <w:proofErr w:type="spellStart"/>
      <w:r w:rsidR="006D4D8A" w:rsidRPr="008E2D89">
        <w:rPr>
          <w:rFonts w:ascii="Times New Roman" w:hAnsi="Times New Roman" w:cs="Times New Roman"/>
          <w:sz w:val="24"/>
          <w:szCs w:val="24"/>
        </w:rPr>
        <w:t>PowerGEM</w:t>
      </w:r>
      <w:proofErr w:type="spellEnd"/>
      <w:r w:rsidR="00D31E3B" w:rsidRPr="008E2D89">
        <w:rPr>
          <w:rFonts w:ascii="Times New Roman" w:hAnsi="Times New Roman" w:cs="Times New Roman"/>
          <w:sz w:val="24"/>
          <w:szCs w:val="24"/>
        </w:rPr>
        <w:t>, LLC</w:t>
      </w:r>
      <w:r w:rsidR="008E2D89" w:rsidRPr="008E2D89">
        <w:rPr>
          <w:rFonts w:ascii="Times New Roman" w:hAnsi="Times New Roman" w:cs="Times New Roman"/>
          <w:sz w:val="24"/>
          <w:szCs w:val="24"/>
        </w:rPr>
        <w:t>.</w:t>
      </w:r>
    </w:p>
    <w:p w14:paraId="6676E4D7" w14:textId="70C8B094" w:rsidR="00055CAA" w:rsidRDefault="00FD3D89" w:rsidP="00366D43">
      <w:pPr>
        <w:pStyle w:val="ListParagraph"/>
        <w:numPr>
          <w:ilvl w:val="0"/>
          <w:numId w:val="10"/>
        </w:numPr>
        <w:tabs>
          <w:tab w:val="clear" w:pos="720"/>
          <w:tab w:val="num" w:pos="1080"/>
        </w:tabs>
        <w:spacing w:line="240" w:lineRule="auto"/>
        <w:contextualSpacing w:val="0"/>
        <w:jc w:val="both"/>
        <w:rPr>
          <w:rFonts w:ascii="Times New Roman" w:hAnsi="Times New Roman" w:cs="Times New Roman"/>
          <w:sz w:val="24"/>
          <w:szCs w:val="24"/>
        </w:rPr>
      </w:pPr>
      <w:r w:rsidRPr="00FD3D89">
        <w:rPr>
          <w:rFonts w:ascii="Times New Roman" w:hAnsi="Times New Roman" w:cs="Times New Roman"/>
          <w:sz w:val="24"/>
          <w:szCs w:val="24"/>
        </w:rPr>
        <w:t>Oil storage was modeled for all existing dual fuel capable resources included in the study based on actual tank sizes. The incremental reserve margin dual fuel resources were modeled with unlimited fuel. Gas storage was not modeled as the study assumes the natural gas commodity is available to fully utilize the available pipeline capacity assigned to each resource. See STF-JKA-1-4 Attachment B for a list of modeled fossil fuel resources that do not have backup fuel supplies</w:t>
      </w:r>
      <w:r w:rsidR="00055CAA">
        <w:rPr>
          <w:rFonts w:ascii="Times New Roman" w:hAnsi="Times New Roman" w:cs="Times New Roman"/>
          <w:sz w:val="24"/>
          <w:szCs w:val="24"/>
        </w:rPr>
        <w:t>.</w:t>
      </w:r>
    </w:p>
    <w:p w14:paraId="58512DB4" w14:textId="35355B58" w:rsidR="00055CAA" w:rsidRPr="00055CAA" w:rsidRDefault="00055CAA" w:rsidP="00366D43">
      <w:pPr>
        <w:pStyle w:val="ListParagraph"/>
        <w:numPr>
          <w:ilvl w:val="0"/>
          <w:numId w:val="10"/>
        </w:numPr>
        <w:tabs>
          <w:tab w:val="clear" w:pos="720"/>
          <w:tab w:val="num" w:pos="1080"/>
        </w:tabs>
        <w:spacing w:line="240" w:lineRule="auto"/>
        <w:contextualSpacing w:val="0"/>
        <w:jc w:val="both"/>
        <w:rPr>
          <w:rFonts w:ascii="Times New Roman" w:hAnsi="Times New Roman" w:cs="Times New Roman"/>
          <w:sz w:val="24"/>
          <w:szCs w:val="24"/>
        </w:rPr>
      </w:pPr>
      <w:r w:rsidRPr="00055CAA">
        <w:rPr>
          <w:rFonts w:ascii="Times New Roman" w:hAnsi="Times New Roman" w:cs="Times New Roman"/>
          <w:sz w:val="24"/>
          <w:szCs w:val="24"/>
        </w:rPr>
        <w:t xml:space="preserve">The Company has changed the methodology used to derive the load forecast error. The new methodology is no longer based on historical forecast </w:t>
      </w:r>
      <w:proofErr w:type="gramStart"/>
      <w:r w:rsidRPr="00055CAA">
        <w:rPr>
          <w:rFonts w:ascii="Times New Roman" w:hAnsi="Times New Roman" w:cs="Times New Roman"/>
          <w:sz w:val="24"/>
          <w:szCs w:val="24"/>
        </w:rPr>
        <w:t>data, but</w:t>
      </w:r>
      <w:proofErr w:type="gramEnd"/>
      <w:r w:rsidRPr="00055CAA">
        <w:rPr>
          <w:rFonts w:ascii="Times New Roman" w:hAnsi="Times New Roman" w:cs="Times New Roman"/>
          <w:sz w:val="24"/>
          <w:szCs w:val="24"/>
        </w:rPr>
        <w:t xml:space="preserve"> instead relies on a combination of model error and economic input uncertainty. The resulting distribution was not re-centered for the 2024 Reserve Margin Study. See Part G of Section I of the 2024 Reserve Margin Study provided in Technical Appendix Volume 1 for a detailed explanation of the new load forecast error methodology.</w:t>
      </w:r>
    </w:p>
    <w:p w14:paraId="57203054" w14:textId="77777777" w:rsidR="00B6366F" w:rsidRPr="00C874DB" w:rsidRDefault="00B6366F" w:rsidP="00AB6DD4">
      <w:pPr>
        <w:tabs>
          <w:tab w:val="num" w:pos="1080"/>
        </w:tabs>
        <w:spacing w:line="240" w:lineRule="auto"/>
        <w:rPr>
          <w:rFonts w:ascii="Times New Roman" w:hAnsi="Times New Roman" w:cs="Times New Roman"/>
          <w:sz w:val="24"/>
          <w:szCs w:val="24"/>
        </w:rPr>
      </w:pPr>
    </w:p>
    <w:sectPr w:rsidR="00B6366F" w:rsidRPr="00C874DB" w:rsidSect="00AB6DD4">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1463B" w14:textId="77777777" w:rsidR="00174404" w:rsidRDefault="00174404">
      <w:pPr>
        <w:spacing w:after="0" w:line="240" w:lineRule="auto"/>
      </w:pPr>
      <w:r>
        <w:separator/>
      </w:r>
    </w:p>
  </w:endnote>
  <w:endnote w:type="continuationSeparator" w:id="0">
    <w:p w14:paraId="1CB7B02A" w14:textId="77777777" w:rsidR="00174404" w:rsidRDefault="00174404">
      <w:pPr>
        <w:spacing w:after="0" w:line="240" w:lineRule="auto"/>
      </w:pPr>
      <w:r>
        <w:continuationSeparator/>
      </w:r>
    </w:p>
  </w:endnote>
  <w:endnote w:type="continuationNotice" w:id="1">
    <w:p w14:paraId="3E175203" w14:textId="77777777" w:rsidR="00174404" w:rsidRDefault="001744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F2C4" w14:textId="612A72A4" w:rsidR="00AC5C59" w:rsidRDefault="000B3684">
    <w:pPr>
      <w:pStyle w:val="Footer"/>
    </w:pPr>
    <w:r>
      <w:rPr>
        <w:rFonts w:ascii="Times New Roman" w:hAnsi="Times New Roman"/>
        <w:sz w:val="24"/>
      </w:rPr>
      <w:t xml:space="preserve">Contact: </w:t>
    </w:r>
    <w:r w:rsidR="00C3598E">
      <w:rPr>
        <w:rFonts w:ascii="Times New Roman" w:hAnsi="Times New Roman"/>
        <w:sz w:val="24"/>
      </w:rPr>
      <w:t>Brandon Looney</w:t>
    </w:r>
    <w:r>
      <w:rPr>
        <w:rFonts w:ascii="Times New Roman" w:hAnsi="Times New Roman"/>
        <w:sz w:val="24"/>
      </w:rPr>
      <w:tab/>
    </w:r>
    <w:r w:rsidRPr="00077B5B">
      <w:rPr>
        <w:rFonts w:ascii="Times New Roman" w:hAnsi="Times New Roman"/>
        <w:sz w:val="24"/>
      </w:rPr>
      <w:tab/>
      <w:t xml:space="preserve">Page </w:t>
    </w:r>
    <w:r w:rsidRPr="00077B5B">
      <w:rPr>
        <w:rFonts w:ascii="Times New Roman" w:hAnsi="Times New Roman"/>
        <w:sz w:val="24"/>
      </w:rPr>
      <w:fldChar w:fldCharType="begin"/>
    </w:r>
    <w:r w:rsidRPr="00077B5B">
      <w:rPr>
        <w:rFonts w:ascii="Times New Roman" w:hAnsi="Times New Roman"/>
        <w:sz w:val="24"/>
      </w:rPr>
      <w:instrText xml:space="preserve"> PAGE  \* Arabic  \* MERGEFORMAT </w:instrText>
    </w:r>
    <w:r w:rsidRPr="00077B5B">
      <w:rPr>
        <w:rFonts w:ascii="Times New Roman" w:hAnsi="Times New Roman"/>
        <w:sz w:val="24"/>
      </w:rPr>
      <w:fldChar w:fldCharType="separate"/>
    </w:r>
    <w:r w:rsidRPr="00077B5B">
      <w:rPr>
        <w:rFonts w:ascii="Times New Roman" w:hAnsi="Times New Roman"/>
        <w:noProof/>
        <w:sz w:val="24"/>
      </w:rPr>
      <w:t>1</w:t>
    </w:r>
    <w:r w:rsidRPr="00077B5B">
      <w:rPr>
        <w:rFonts w:ascii="Times New Roman" w:hAnsi="Times New Roman"/>
        <w:sz w:val="24"/>
      </w:rPr>
      <w:fldChar w:fldCharType="end"/>
    </w:r>
    <w:r w:rsidRPr="00077B5B">
      <w:rPr>
        <w:rFonts w:ascii="Times New Roman" w:hAnsi="Times New Roman"/>
        <w:sz w:val="24"/>
      </w:rPr>
      <w:t xml:space="preserve"> of </w:t>
    </w:r>
    <w:r w:rsidRPr="00077B5B">
      <w:rPr>
        <w:rFonts w:ascii="Times New Roman" w:hAnsi="Times New Roman"/>
        <w:sz w:val="24"/>
      </w:rPr>
      <w:fldChar w:fldCharType="begin"/>
    </w:r>
    <w:r w:rsidRPr="00077B5B">
      <w:rPr>
        <w:rFonts w:ascii="Times New Roman" w:hAnsi="Times New Roman"/>
        <w:sz w:val="24"/>
      </w:rPr>
      <w:instrText xml:space="preserve"> NUMPAGES  \* Arabic  \* MERGEFORMAT </w:instrText>
    </w:r>
    <w:r w:rsidRPr="00077B5B">
      <w:rPr>
        <w:rFonts w:ascii="Times New Roman" w:hAnsi="Times New Roman"/>
        <w:sz w:val="24"/>
      </w:rPr>
      <w:fldChar w:fldCharType="separate"/>
    </w:r>
    <w:r w:rsidRPr="00077B5B">
      <w:rPr>
        <w:rFonts w:ascii="Times New Roman" w:hAnsi="Times New Roman"/>
        <w:noProof/>
        <w:sz w:val="24"/>
      </w:rPr>
      <w:t>2</w:t>
    </w:r>
    <w:r w:rsidRPr="00077B5B">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97667" w14:textId="77777777" w:rsidR="00174404" w:rsidRDefault="00174404">
      <w:pPr>
        <w:spacing w:after="0" w:line="240" w:lineRule="auto"/>
      </w:pPr>
      <w:r>
        <w:separator/>
      </w:r>
    </w:p>
  </w:footnote>
  <w:footnote w:type="continuationSeparator" w:id="0">
    <w:p w14:paraId="0F1C93DD" w14:textId="77777777" w:rsidR="00174404" w:rsidRDefault="00174404">
      <w:pPr>
        <w:spacing w:after="0" w:line="240" w:lineRule="auto"/>
      </w:pPr>
      <w:r>
        <w:continuationSeparator/>
      </w:r>
    </w:p>
  </w:footnote>
  <w:footnote w:type="continuationNotice" w:id="1">
    <w:p w14:paraId="6DD37F97" w14:textId="77777777" w:rsidR="00174404" w:rsidRDefault="0017440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DCFF6" w14:textId="77777777" w:rsidR="00AB6DD4" w:rsidRPr="00D62A4A" w:rsidRDefault="00AB6DD4" w:rsidP="00AB6DD4">
    <w:pPr>
      <w:spacing w:after="0" w:line="240" w:lineRule="auto"/>
      <w:jc w:val="center"/>
      <w:rPr>
        <w:rFonts w:ascii="Times New Roman" w:eastAsia="Times New Roman" w:hAnsi="Times New Roman" w:cs="Times New Roman"/>
        <w:b/>
        <w:bCs/>
        <w:sz w:val="24"/>
        <w:szCs w:val="24"/>
      </w:rPr>
    </w:pPr>
  </w:p>
  <w:p w14:paraId="2F7FF359" w14:textId="77777777" w:rsidR="00AB6DD4" w:rsidRPr="00D62A4A" w:rsidRDefault="00AB6DD4" w:rsidP="00AB6DD4">
    <w:pPr>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Georgia Power Company</w:t>
    </w:r>
  </w:p>
  <w:p w14:paraId="5AA77526" w14:textId="77777777" w:rsidR="00AB6DD4" w:rsidRPr="00D62A4A" w:rsidRDefault="00AB6DD4" w:rsidP="00AB6DD4">
    <w:pPr>
      <w:spacing w:after="0" w:line="240" w:lineRule="auto"/>
      <w:jc w:val="center"/>
      <w:rPr>
        <w:rFonts w:ascii="Times New Roman" w:eastAsia="Times New Roman" w:hAnsi="Times New Roman" w:cs="Times New Roman"/>
        <w:b/>
        <w:bCs/>
        <w:color w:val="000000"/>
        <w:sz w:val="24"/>
        <w:szCs w:val="24"/>
      </w:rPr>
    </w:pPr>
    <w:r w:rsidRPr="00D62A4A">
      <w:rPr>
        <w:rFonts w:ascii="Times New Roman" w:eastAsia="Times New Roman" w:hAnsi="Times New Roman" w:cs="Times New Roman"/>
        <w:b/>
        <w:bCs/>
        <w:sz w:val="24"/>
        <w:szCs w:val="24"/>
      </w:rPr>
      <w:t xml:space="preserve">Docket Nos. </w:t>
    </w:r>
    <w:r w:rsidRPr="00D62A4A">
      <w:rPr>
        <w:rFonts w:ascii="Times New Roman" w:eastAsia="Times New Roman" w:hAnsi="Times New Roman" w:cs="Times New Roman"/>
        <w:b/>
        <w:bCs/>
        <w:color w:val="000000"/>
        <w:sz w:val="24"/>
        <w:szCs w:val="24"/>
      </w:rPr>
      <w:t>56002 &amp; 56003</w:t>
    </w:r>
  </w:p>
  <w:p w14:paraId="65460825" w14:textId="77777777" w:rsidR="00AB6DD4" w:rsidRPr="00D62A4A" w:rsidRDefault="00AB6DD4" w:rsidP="00AB6DD4">
    <w:pPr>
      <w:pStyle w:val="Header"/>
      <w:jc w:val="center"/>
      <w:rPr>
        <w:rFonts w:ascii="Times New Roman" w:hAnsi="Times New Roman" w:cs="Times New Roman"/>
        <w:b/>
        <w:color w:val="000000"/>
        <w:sz w:val="24"/>
        <w:szCs w:val="24"/>
      </w:rPr>
    </w:pPr>
    <w:r w:rsidRPr="00D62A4A">
      <w:rPr>
        <w:rFonts w:ascii="Times New Roman" w:hAnsi="Times New Roman" w:cs="Times New Roman"/>
        <w:b/>
        <w:color w:val="000000"/>
        <w:sz w:val="24"/>
        <w:szCs w:val="24"/>
      </w:rPr>
      <w:t>2025 Integrated Resource Plan and 2025 Demand-Side Management Application</w:t>
    </w:r>
  </w:p>
  <w:p w14:paraId="4AB36F5F" w14:textId="77777777" w:rsidR="00AB6DD4" w:rsidRPr="00D62A4A" w:rsidRDefault="00AB6DD4" w:rsidP="00AB6DD4">
    <w:pPr>
      <w:tabs>
        <w:tab w:val="center" w:pos="4320"/>
        <w:tab w:val="right" w:pos="8640"/>
      </w:tabs>
      <w:spacing w:after="0" w:line="240" w:lineRule="auto"/>
      <w:jc w:val="center"/>
      <w:rPr>
        <w:rFonts w:ascii="Times New Roman" w:eastAsia="Times New Roman" w:hAnsi="Times New Roman" w:cs="Times New Roman"/>
        <w:b/>
        <w:bCs/>
        <w:sz w:val="24"/>
        <w:szCs w:val="24"/>
      </w:rPr>
    </w:pPr>
    <w:r w:rsidRPr="00D62A4A">
      <w:rPr>
        <w:rFonts w:ascii="Times New Roman" w:eastAsia="Times New Roman" w:hAnsi="Times New Roman" w:cs="Times New Roman"/>
        <w:b/>
        <w:bCs/>
        <w:sz w:val="24"/>
        <w:szCs w:val="24"/>
      </w:rPr>
      <w:t>STF-JKA Data Request Set No. 1</w:t>
    </w:r>
  </w:p>
  <w:p w14:paraId="60C479FC" w14:textId="77777777" w:rsidR="00AB6DD4" w:rsidRPr="00D62A4A" w:rsidRDefault="00AB6DD4" w:rsidP="00AB6DD4">
    <w:pPr>
      <w:pStyle w:val="Header"/>
      <w:jc w:val="center"/>
      <w:rPr>
        <w:rFonts w:ascii="Times New Roman" w:hAnsi="Times New Roman" w:cs="Times New Roman"/>
        <w:sz w:val="24"/>
        <w:szCs w:val="24"/>
      </w:rPr>
    </w:pPr>
    <w:r w:rsidRPr="00D62A4A">
      <w:rPr>
        <w:rFonts w:ascii="Times New Roman" w:hAnsi="Times New Roman" w:cs="Times New Roman"/>
        <w:sz w:val="24"/>
        <w:szCs w:val="24"/>
      </w:rPr>
      <w:t>______________________________________________________________________________</w:t>
    </w:r>
  </w:p>
  <w:p w14:paraId="3FEA7AC9" w14:textId="77777777" w:rsidR="00986F8F" w:rsidRPr="00AB6DD4" w:rsidRDefault="00986F8F" w:rsidP="00AB6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3D46AC"/>
    <w:multiLevelType w:val="multilevel"/>
    <w:tmpl w:val="E8BC1BC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6C1D52AE"/>
    <w:multiLevelType w:val="hybridMultilevel"/>
    <w:tmpl w:val="9F2027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FE0474"/>
    <w:multiLevelType w:val="hybridMultilevel"/>
    <w:tmpl w:val="08A03D46"/>
    <w:lvl w:ilvl="0" w:tplc="BCF20F92">
      <w:start w:val="1"/>
      <w:numFmt w:val="lowerLetter"/>
      <w:lvlText w:val="%1."/>
      <w:lvlJc w:val="left"/>
      <w:pPr>
        <w:ind w:left="720" w:hanging="36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7084997">
    <w:abstractNumId w:val="8"/>
  </w:num>
  <w:num w:numId="2" w16cid:durableId="377316297">
    <w:abstractNumId w:val="6"/>
  </w:num>
  <w:num w:numId="3" w16cid:durableId="689068700">
    <w:abstractNumId w:val="5"/>
  </w:num>
  <w:num w:numId="4" w16cid:durableId="1948196777">
    <w:abstractNumId w:val="4"/>
  </w:num>
  <w:num w:numId="5" w16cid:durableId="1458182152">
    <w:abstractNumId w:val="7"/>
  </w:num>
  <w:num w:numId="6" w16cid:durableId="1292438045">
    <w:abstractNumId w:val="3"/>
  </w:num>
  <w:num w:numId="7" w16cid:durableId="1194197220">
    <w:abstractNumId w:val="2"/>
  </w:num>
  <w:num w:numId="8" w16cid:durableId="1629433266">
    <w:abstractNumId w:val="1"/>
  </w:num>
  <w:num w:numId="9" w16cid:durableId="1678389506">
    <w:abstractNumId w:val="0"/>
  </w:num>
  <w:num w:numId="10" w16cid:durableId="358552686">
    <w:abstractNumId w:val="9"/>
  </w:num>
  <w:num w:numId="11" w16cid:durableId="2084985980">
    <w:abstractNumId w:val="10"/>
  </w:num>
  <w:num w:numId="12" w16cid:durableId="14851278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0408F"/>
    <w:rsid w:val="0001484E"/>
    <w:rsid w:val="00020C3B"/>
    <w:rsid w:val="00034616"/>
    <w:rsid w:val="000552E7"/>
    <w:rsid w:val="00055CAA"/>
    <w:rsid w:val="00057B5E"/>
    <w:rsid w:val="0006063C"/>
    <w:rsid w:val="000713D4"/>
    <w:rsid w:val="00073AF7"/>
    <w:rsid w:val="00074084"/>
    <w:rsid w:val="00077B5B"/>
    <w:rsid w:val="000841D9"/>
    <w:rsid w:val="0009385C"/>
    <w:rsid w:val="000A29CD"/>
    <w:rsid w:val="000B18E0"/>
    <w:rsid w:val="000B3684"/>
    <w:rsid w:val="000C38A1"/>
    <w:rsid w:val="000C4C7C"/>
    <w:rsid w:val="000C79C8"/>
    <w:rsid w:val="000E78BE"/>
    <w:rsid w:val="00111C94"/>
    <w:rsid w:val="00111F8E"/>
    <w:rsid w:val="00137462"/>
    <w:rsid w:val="0015074B"/>
    <w:rsid w:val="001728F0"/>
    <w:rsid w:val="00174404"/>
    <w:rsid w:val="001B0DAC"/>
    <w:rsid w:val="001C084B"/>
    <w:rsid w:val="001D270A"/>
    <w:rsid w:val="001E0A88"/>
    <w:rsid w:val="00226177"/>
    <w:rsid w:val="00233CE2"/>
    <w:rsid w:val="00242926"/>
    <w:rsid w:val="002454B6"/>
    <w:rsid w:val="00272E20"/>
    <w:rsid w:val="00282A28"/>
    <w:rsid w:val="0029639D"/>
    <w:rsid w:val="002968C1"/>
    <w:rsid w:val="002A6CBE"/>
    <w:rsid w:val="002D2C2F"/>
    <w:rsid w:val="003011A1"/>
    <w:rsid w:val="0031677E"/>
    <w:rsid w:val="00326F90"/>
    <w:rsid w:val="00366D43"/>
    <w:rsid w:val="00371460"/>
    <w:rsid w:val="003779DD"/>
    <w:rsid w:val="003A13F4"/>
    <w:rsid w:val="003C2F66"/>
    <w:rsid w:val="003D2972"/>
    <w:rsid w:val="003D71F2"/>
    <w:rsid w:val="004060AD"/>
    <w:rsid w:val="0040696D"/>
    <w:rsid w:val="00411D13"/>
    <w:rsid w:val="0042510D"/>
    <w:rsid w:val="00440950"/>
    <w:rsid w:val="00444BDF"/>
    <w:rsid w:val="004628B6"/>
    <w:rsid w:val="004A6803"/>
    <w:rsid w:val="004B615F"/>
    <w:rsid w:val="004B77DC"/>
    <w:rsid w:val="004D3059"/>
    <w:rsid w:val="004D5A21"/>
    <w:rsid w:val="004E0DD2"/>
    <w:rsid w:val="00526290"/>
    <w:rsid w:val="00527340"/>
    <w:rsid w:val="005474E0"/>
    <w:rsid w:val="0056309D"/>
    <w:rsid w:val="00577180"/>
    <w:rsid w:val="0058019C"/>
    <w:rsid w:val="00583DBE"/>
    <w:rsid w:val="005A2CA9"/>
    <w:rsid w:val="005D2E82"/>
    <w:rsid w:val="00610F64"/>
    <w:rsid w:val="0062172F"/>
    <w:rsid w:val="00627079"/>
    <w:rsid w:val="0063064B"/>
    <w:rsid w:val="00632473"/>
    <w:rsid w:val="006976E0"/>
    <w:rsid w:val="006C5E8C"/>
    <w:rsid w:val="006D063F"/>
    <w:rsid w:val="006D4D8A"/>
    <w:rsid w:val="007066AD"/>
    <w:rsid w:val="00715978"/>
    <w:rsid w:val="007205B2"/>
    <w:rsid w:val="00726D09"/>
    <w:rsid w:val="007316FF"/>
    <w:rsid w:val="00732170"/>
    <w:rsid w:val="00737E84"/>
    <w:rsid w:val="0074707D"/>
    <w:rsid w:val="00780EEE"/>
    <w:rsid w:val="00784EA9"/>
    <w:rsid w:val="007B6F3A"/>
    <w:rsid w:val="007E3238"/>
    <w:rsid w:val="0080000F"/>
    <w:rsid w:val="00824442"/>
    <w:rsid w:val="00846172"/>
    <w:rsid w:val="00854D0E"/>
    <w:rsid w:val="00855ECD"/>
    <w:rsid w:val="00857CF3"/>
    <w:rsid w:val="00861375"/>
    <w:rsid w:val="00871F7A"/>
    <w:rsid w:val="00880E70"/>
    <w:rsid w:val="008A4CC1"/>
    <w:rsid w:val="008C2166"/>
    <w:rsid w:val="008E2D89"/>
    <w:rsid w:val="008E5AF7"/>
    <w:rsid w:val="00957DAB"/>
    <w:rsid w:val="00975F1F"/>
    <w:rsid w:val="00986F8F"/>
    <w:rsid w:val="00993706"/>
    <w:rsid w:val="00994414"/>
    <w:rsid w:val="009F1EFF"/>
    <w:rsid w:val="009F77D4"/>
    <w:rsid w:val="00A06F6D"/>
    <w:rsid w:val="00A22FB3"/>
    <w:rsid w:val="00A91577"/>
    <w:rsid w:val="00AA1D8D"/>
    <w:rsid w:val="00AB6DD4"/>
    <w:rsid w:val="00AC5C59"/>
    <w:rsid w:val="00AD239B"/>
    <w:rsid w:val="00AF03F0"/>
    <w:rsid w:val="00B47730"/>
    <w:rsid w:val="00B54E39"/>
    <w:rsid w:val="00B6366F"/>
    <w:rsid w:val="00B815D5"/>
    <w:rsid w:val="00B83459"/>
    <w:rsid w:val="00BE396F"/>
    <w:rsid w:val="00BF6EEC"/>
    <w:rsid w:val="00BF7FBF"/>
    <w:rsid w:val="00C24E4B"/>
    <w:rsid w:val="00C34A25"/>
    <w:rsid w:val="00C3598E"/>
    <w:rsid w:val="00C557EE"/>
    <w:rsid w:val="00C564AB"/>
    <w:rsid w:val="00C874DB"/>
    <w:rsid w:val="00C97BB1"/>
    <w:rsid w:val="00CA4C9D"/>
    <w:rsid w:val="00CB0664"/>
    <w:rsid w:val="00CB3769"/>
    <w:rsid w:val="00D15729"/>
    <w:rsid w:val="00D2059B"/>
    <w:rsid w:val="00D31DC0"/>
    <w:rsid w:val="00D31E3B"/>
    <w:rsid w:val="00D405AE"/>
    <w:rsid w:val="00D561CF"/>
    <w:rsid w:val="00D7641E"/>
    <w:rsid w:val="00DB28B6"/>
    <w:rsid w:val="00DE4D9A"/>
    <w:rsid w:val="00DE5EB2"/>
    <w:rsid w:val="00E07962"/>
    <w:rsid w:val="00E204AD"/>
    <w:rsid w:val="00E36AC5"/>
    <w:rsid w:val="00E45038"/>
    <w:rsid w:val="00E75477"/>
    <w:rsid w:val="00E91AC5"/>
    <w:rsid w:val="00E92363"/>
    <w:rsid w:val="00EA3566"/>
    <w:rsid w:val="00EB0DAC"/>
    <w:rsid w:val="00EC79EE"/>
    <w:rsid w:val="00EE5F40"/>
    <w:rsid w:val="00EF126D"/>
    <w:rsid w:val="00F03FB9"/>
    <w:rsid w:val="00F13242"/>
    <w:rsid w:val="00F141EE"/>
    <w:rsid w:val="00F20AE0"/>
    <w:rsid w:val="00F217CB"/>
    <w:rsid w:val="00F26ACE"/>
    <w:rsid w:val="00F4066A"/>
    <w:rsid w:val="00F5408C"/>
    <w:rsid w:val="00F75A63"/>
    <w:rsid w:val="00FC693F"/>
    <w:rsid w:val="00FD3B75"/>
    <w:rsid w:val="00FD3D89"/>
    <w:rsid w:val="00FD76E8"/>
    <w:rsid w:val="00FF6E8E"/>
    <w:rsid w:val="7420FCC2"/>
    <w:rsid w:val="7F7C31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062061"/>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CommentText">
    <w:name w:val="annotation text"/>
    <w:basedOn w:val="Normal"/>
    <w:link w:val="CommentTextChar"/>
    <w:uiPriority w:val="99"/>
    <w:unhideWhenUsed/>
    <w:rsid w:val="002D2C2F"/>
    <w:pPr>
      <w:spacing w:line="240" w:lineRule="auto"/>
    </w:pPr>
    <w:rPr>
      <w:sz w:val="20"/>
      <w:szCs w:val="20"/>
    </w:rPr>
  </w:style>
  <w:style w:type="character" w:customStyle="1" w:styleId="CommentTextChar">
    <w:name w:val="Comment Text Char"/>
    <w:basedOn w:val="DefaultParagraphFont"/>
    <w:link w:val="CommentText"/>
    <w:uiPriority w:val="99"/>
    <w:rsid w:val="002D2C2F"/>
    <w:rPr>
      <w:sz w:val="20"/>
      <w:szCs w:val="20"/>
    </w:rPr>
  </w:style>
  <w:style w:type="character" w:styleId="CommentReference">
    <w:name w:val="annotation reference"/>
    <w:basedOn w:val="DefaultParagraphFont"/>
    <w:uiPriority w:val="99"/>
    <w:semiHidden/>
    <w:unhideWhenUsed/>
    <w:rsid w:val="002D2C2F"/>
    <w:rPr>
      <w:sz w:val="16"/>
      <w:szCs w:val="16"/>
    </w:rPr>
  </w:style>
  <w:style w:type="paragraph" w:styleId="CommentSubject">
    <w:name w:val="annotation subject"/>
    <w:basedOn w:val="CommentText"/>
    <w:next w:val="CommentText"/>
    <w:link w:val="CommentSubjectChar"/>
    <w:uiPriority w:val="99"/>
    <w:semiHidden/>
    <w:unhideWhenUsed/>
    <w:rsid w:val="00627079"/>
    <w:rPr>
      <w:b/>
      <w:bCs/>
    </w:rPr>
  </w:style>
  <w:style w:type="character" w:customStyle="1" w:styleId="CommentSubjectChar">
    <w:name w:val="Comment Subject Char"/>
    <w:basedOn w:val="CommentTextChar"/>
    <w:link w:val="CommentSubject"/>
    <w:uiPriority w:val="99"/>
    <w:semiHidden/>
    <w:rsid w:val="00627079"/>
    <w:rPr>
      <w:b/>
      <w:bCs/>
      <w:sz w:val="20"/>
      <w:szCs w:val="20"/>
    </w:rPr>
  </w:style>
  <w:style w:type="paragraph" w:styleId="Revision">
    <w:name w:val="Revision"/>
    <w:hidden/>
    <w:uiPriority w:val="99"/>
    <w:semiHidden/>
    <w:rsid w:val="00610F6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08CB78B9-542A-4A75-A917-AC788CDDE0B4}"/>
</file>

<file path=customXml/itemProps3.xml><?xml version="1.0" encoding="utf-8"?>
<ds:datastoreItem xmlns:ds="http://schemas.openxmlformats.org/officeDocument/2006/customXml" ds:itemID="{5EB0ADCD-EDB1-4331-9DEC-20D937816C20}"/>
</file>

<file path=customXml/itemProps4.xml><?xml version="1.0" encoding="utf-8"?>
<ds:datastoreItem xmlns:ds="http://schemas.openxmlformats.org/officeDocument/2006/customXml" ds:itemID="{0116CC64-AD28-4C74-A442-FF423065EEC2}"/>
</file>

<file path=docProps/app.xml><?xml version="1.0" encoding="utf-8"?>
<Properties xmlns="http://schemas.openxmlformats.org/officeDocument/2006/extended-properties" xmlns:vt="http://schemas.openxmlformats.org/officeDocument/2006/docPropsVTypes">
  <Template>Normal</Template>
  <TotalTime>0</TotalTime>
  <Pages>2</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3638</CharactersWithSpaces>
  <SharedDoc>false</SharedDoc>
  <HyperlinkBase/>
  <HLinks>
    <vt:vector size="6" baseType="variant">
      <vt:variant>
        <vt:i4>5046372</vt:i4>
      </vt:variant>
      <vt:variant>
        <vt:i4>0</vt:i4>
      </vt:variant>
      <vt:variant>
        <vt:i4>0</vt:i4>
      </vt:variant>
      <vt:variant>
        <vt:i4>5</vt:i4>
      </vt:variant>
      <vt:variant>
        <vt:lpwstr>mailto:BSCRUSE@southernco.com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2025-02-27T21:45:00Z</dcterms:created>
  <dcterms:modified xsi:type="dcterms:W3CDTF">2025-02-27T21:45:00Z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2025-02-27T21:45:47Z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edab2505-4150-4980-aec9-5f2856c1b246</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Order">
    <vt:r8>3227200</vt:r8>
  </property>
  <property fmtid="{D5CDD505-2E9C-101B-9397-08002B2CF9AE}" pid="12" name="xd_ProgID">
    <vt:lpwstr/>
  </property>
  <property fmtid="{D5CDD505-2E9C-101B-9397-08002B2CF9AE}" pid="13" name="ContentTypeId">
    <vt:lpwstr>0x010100F90794ADCB3F68419D9EFAC3BB9AAF2E</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xd_Signature">
    <vt:bool>false</vt:bool>
  </property>
  <property fmtid="{D5CDD505-2E9C-101B-9397-08002B2CF9AE}" pid="18" name="TriggerFlowInfo">
    <vt:lpwstr/>
  </property>
  <property fmtid="{D5CDD505-2E9C-101B-9397-08002B2CF9AE}" pid="19" name="_SourceUrl">
    <vt:lpwstr/>
  </property>
  <property fmtid="{D5CDD505-2E9C-101B-9397-08002B2CF9AE}" pid="20" name="_SharedFileIndex">
    <vt:lpwstr/>
  </property>
</Properties>
</file>